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The five schedules of drugs in the Controlled Substances Act of 1970 refers to the same five classes of drugs used for drug categorization.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Narcotics are non-sleep-inducing drugs used to relieve pain.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 Toxicology is the study of poisons and the identification of drugs and other substances a person may </w:t>
            </w: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have used for medicinal purposes only.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 Toxic </w:t>
            </w: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substances are also classified by how people are exposed to them.  </w:t>
            </w:r>
            <w:proofErr w:type="gramStart"/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By definition, people</w:t>
            </w:r>
            <w:proofErr w:type="gramEnd"/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may be exposed intentionally, accidentally, or deliberately.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 The Greek philosopher, Socrates, was one of the earliest reported victims of poisoning.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6. Although poisoning is popular in murder mysteries and detective </w:t>
            </w: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stories, it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789"/>
              <w:gridCol w:w="220"/>
              <w:gridCol w:w="3339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common form of murder.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not a common form of murder.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common form of suicide.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common form of manslaughter.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 Bulgarian dissident Georgi Markov was killed in 1978 by: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140"/>
              <w:gridCol w:w="220"/>
              <w:gridCol w:w="1237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ricin.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radiation.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cyanide.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arsenic.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In 2014, what damaged the drinking water for 300,000 West Virginia residents?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744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high levels of arsenic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 release of </w:t>
                  </w: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heavy metals into the water supply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PCP contamination of the water by a disgruntled employee of the water department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spill of MCHM, a chemical used to wash coal, into the water supply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Acute poisoning is due to: 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3852"/>
              <w:gridCol w:w="220"/>
              <w:gridCol w:w="3742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high dose over a short period of time.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low dose over a long period of time.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 low </w:t>
                  </w: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dose over a short period of time.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10. There is a drug which is frequently made in home laboratories. As the </w:t>
            </w: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chemicals used in the production of the drug are very dangerous, there are frequently explosions that occur during production. The name of this drug is: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596"/>
              <w:gridCol w:w="220"/>
              <w:gridCol w:w="3018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depressants ("downers").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synthetic marijuana ("spice").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PCP ("angel dust").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methamphetamines ("meth").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​All of these choices.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Controlled substances are defined as: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illegal drugs whose sale, possession, and use are prohibited because of the mind-altering effect of the drugs and the potential for abuse.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legal drugs whose sale, possession, and use are </w:t>
                  </w: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restricted because of the mind-altering effect of the drugs and the potential for abuse.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legal drugs whose sale, possession, and use are permitted.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 Arrests for drug abuse violations have been: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4005"/>
              <w:gridCol w:w="220"/>
              <w:gridCol w:w="4041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increasing steadily since the early 1990s.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decreasing steadily since </w:t>
                  </w: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early 1990s.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same since the early 1990s.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 Hallucinogens are: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2722"/>
              <w:gridCol w:w="220"/>
              <w:gridCol w:w="2844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never derived from plants.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rarely derived from plants.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often derived from plants.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always derived from plants.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If a liquor contains 40 percent of alcohol, what proof is it?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1152"/>
              <w:gridCol w:w="220"/>
              <w:gridCol w:w="1152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20 proof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40 proof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60 proof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80 proof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15. Which techniques may be used in presumptive testing?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08"/>
              <w:gridCol w:w="3907"/>
              <w:gridCol w:w="220"/>
              <w:gridCol w:w="3968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colorimetric testing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microcrystalline testing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gas chromatography-mass spectrometry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microscopic examination of plant matter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</w:t>
                  </w:r>
                  <w:r w:rsidR="00AB6528"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 above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D60B09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D60B09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AB652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16. Narcotics act as: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015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depressants and suppress pain.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stimulants and heighten pleasure.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mood </w:t>
                  </w: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enhancing substances that flood the brain with dopamine.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None of these choices.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17. Stimulants: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6497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increase feelings of energy and alertness, while suppressing appetite.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decrease feelings of energy and alertness, while suppressing appetite.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increase feelings of energy and </w:t>
                  </w: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alertness, while increasing appetite.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increase feelings of lethargy and alertness, while increasing appetite.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Anabolic steroids: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795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decrease cell and tissue growth and division.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promote cell and tissue growth and division.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promote cell growth and decrease tissue growth and </w:t>
                  </w: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division.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decrease cell growth and increase tissue growth and division.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 According to the National Institute on Drug Abuse 2013 survey, how much is spent annually in workplace costs because of drug abuse?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11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more than $400 billion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more than $500 billion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more than $600 billion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more than $700 </w:t>
                  </w: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billion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What substance causes death by affecting the heart's ability to send electrical signals?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69"/>
            </w:tblGrid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sodium pentothal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potassium chloride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arsenic</w:t>
                  </w:r>
                </w:p>
              </w:tc>
            </w:tr>
            <w:tr w:rsidR="00D60B09" w:rsidRPr="00AB6528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mercury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p w:rsidR="00AB6528" w:rsidRDefault="00AB6528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p w:rsidR="00AB6528" w:rsidRDefault="00AB6528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p w:rsidR="00AB6528" w:rsidRDefault="00AB6528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p w:rsidR="00AB6528" w:rsidRDefault="00AB6528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p w:rsidR="00AB6528" w:rsidRDefault="00AB6528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p w:rsidR="00AB6528" w:rsidRDefault="00AB6528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p w:rsidR="00AB6528" w:rsidRDefault="00AB6528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B6528" w:rsidTr="00AB6528">
        <w:tc>
          <w:tcPr>
            <w:tcW w:w="3672" w:type="dxa"/>
          </w:tcPr>
          <w:p w:rsidR="00AB6528" w:rsidRDefault="00AB6528" w:rsidP="00AB6528">
            <w:pPr>
              <w:pStyle w:val="p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ricin</w:t>
            </w:r>
          </w:p>
        </w:tc>
        <w:tc>
          <w:tcPr>
            <w:tcW w:w="3672" w:type="dxa"/>
          </w:tcPr>
          <w:p w:rsidR="00AB6528" w:rsidRDefault="00141938" w:rsidP="00AB6528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toxicity</w:t>
            </w:r>
            <w:bookmarkStart w:id="0" w:name="_GoBack"/>
            <w:bookmarkEnd w:id="0"/>
          </w:p>
        </w:tc>
        <w:tc>
          <w:tcPr>
            <w:tcW w:w="3672" w:type="dxa"/>
          </w:tcPr>
          <w:p w:rsidR="00AB6528" w:rsidRDefault="00141938" w:rsidP="00AB6528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depressants</w:t>
            </w:r>
          </w:p>
        </w:tc>
      </w:tr>
      <w:tr w:rsidR="00AB6528" w:rsidTr="00AB6528">
        <w:tc>
          <w:tcPr>
            <w:tcW w:w="3672" w:type="dxa"/>
          </w:tcPr>
          <w:p w:rsidR="00AB6528" w:rsidRDefault="00141938" w:rsidP="00AB6528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carbon monoxide gas fumes</w:t>
            </w:r>
          </w:p>
        </w:tc>
        <w:tc>
          <w:tcPr>
            <w:tcW w:w="3672" w:type="dxa"/>
          </w:tcPr>
          <w:p w:rsidR="00AB6528" w:rsidRDefault="00AB6528" w:rsidP="00AB6528">
            <w:pPr>
              <w:pStyle w:val="p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Schedule II</w:t>
            </w:r>
          </w:p>
        </w:tc>
        <w:tc>
          <w:tcPr>
            <w:tcW w:w="3672" w:type="dxa"/>
          </w:tcPr>
          <w:p w:rsidR="00AB6528" w:rsidRDefault="00AB6528" w:rsidP="00AB6528">
            <w:pPr>
              <w:spacing w:after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B6528" w:rsidRPr="00AB6528" w:rsidRDefault="00AB6528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21. The federal Controlled Substances Act of 1970 recognizes five Schedules of drugs. Which </w:t>
            </w: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Schedule of drugs contains drugs that have severely restricted medical use and a high potential for abuse (and includes cocaine, methamphetamine, methadone, and oxycodone</w:t>
            </w:r>
            <w:proofErr w:type="gramStart"/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)?_</w:t>
            </w:r>
            <w:proofErr w:type="gramEnd"/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008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Schedule II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22. A component of the waste product of the manufacture of castor oil from castor beans is </w:t>
            </w: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04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ricin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23. What substance causes death by interfering with the ability of the body to absorb oxygen? </w:t>
            </w: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2475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carbon monoxide gas fumes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24. Drugs, such as barbiturates and benzodiazepines that relieve anxiety and produce sleep </w:t>
            </w: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 called _______________________________.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015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depressants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D60B09" w:rsidRPr="00AB6528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B09" w:rsidRPr="00AB6528" w:rsidRDefault="0070372D">
            <w:pPr>
              <w:pStyle w:val="p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25. The degree to which a </w:t>
            </w:r>
            <w:r w:rsidRPr="00AB6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substance is harmful to a given person at a given time is_________________________.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673"/>
            </w:tblGrid>
            <w:tr w:rsidR="00D60B09" w:rsidRPr="00AB6528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D60B09" w:rsidRPr="00AB6528" w:rsidRDefault="0070372D">
                  <w:pPr>
                    <w:pStyle w:val="p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B6528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toxicity</w:t>
                  </w:r>
                </w:p>
              </w:tc>
            </w:tr>
          </w:tbl>
          <w:p w:rsidR="00D60B09" w:rsidRPr="00AB6528" w:rsidRDefault="00D60B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60B09" w:rsidRPr="00AB6528" w:rsidRDefault="00D60B09">
      <w:pPr>
        <w:shd w:val="clear" w:color="auto" w:fill="FFFFFF"/>
        <w:spacing w:after="75"/>
        <w:rPr>
          <w:rFonts w:ascii="Times New Roman" w:hAnsi="Times New Roman" w:cs="Times New Roman"/>
          <w:sz w:val="22"/>
          <w:szCs w:val="22"/>
        </w:rPr>
      </w:pPr>
    </w:p>
    <w:p w:rsidR="00D60B09" w:rsidRPr="00AB6528" w:rsidRDefault="00D60B09">
      <w:pPr>
        <w:rPr>
          <w:rFonts w:ascii="Times New Roman" w:hAnsi="Times New Roman" w:cs="Times New Roman"/>
          <w:sz w:val="22"/>
          <w:szCs w:val="22"/>
        </w:rPr>
      </w:pPr>
    </w:p>
    <w:sectPr w:rsidR="00D60B09" w:rsidRPr="00AB652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72D" w:rsidRDefault="0070372D">
      <w:r>
        <w:separator/>
      </w:r>
    </w:p>
  </w:endnote>
  <w:endnote w:type="continuationSeparator" w:id="0">
    <w:p w:rsidR="0070372D" w:rsidRDefault="0070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914"/>
      <w:gridCol w:w="1102"/>
    </w:tblGrid>
    <w:tr w:rsidR="00D60B09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D60B09" w:rsidRDefault="0070372D">
          <w:r>
            <w:rPr>
              <w:i/>
              <w:iCs/>
              <w:szCs w:val="16"/>
            </w:rPr>
            <w:t xml:space="preserve">Cengage Learning Testing,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D60B09" w:rsidRDefault="0070372D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522C7E">
            <w:fldChar w:fldCharType="separate"/>
          </w:r>
          <w:r w:rsidR="00522C7E">
            <w:rPr>
              <w:noProof/>
            </w:rPr>
            <w:t>1</w:t>
          </w:r>
          <w:r>
            <w:fldChar w:fldCharType="end"/>
          </w:r>
        </w:p>
      </w:tc>
    </w:tr>
  </w:tbl>
  <w:p w:rsidR="00D60B09" w:rsidRDefault="00D60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72D" w:rsidRDefault="0070372D">
      <w:r>
        <w:separator/>
      </w:r>
    </w:p>
  </w:footnote>
  <w:footnote w:type="continuationSeparator" w:id="0">
    <w:p w:rsidR="0070372D" w:rsidRDefault="00703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D60B09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48"/>
            <w:gridCol w:w="4577"/>
          </w:tblGrid>
          <w:tr w:rsidR="00D60B09" w:rsidRPr="00AB6528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60B09" w:rsidRPr="00AB6528" w:rsidRDefault="0070372D">
                <w:pPr>
                  <w:rPr>
                    <w:sz w:val="22"/>
                    <w:szCs w:val="22"/>
                  </w:rPr>
                </w:pPr>
                <w:r w:rsidRPr="00AB6528">
                  <w:rPr>
                    <w:sz w:val="22"/>
                    <w:szCs w:val="22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60B09" w:rsidRPr="00AB6528" w:rsidRDefault="0070372D">
                <w:pPr>
                  <w:rPr>
                    <w:sz w:val="22"/>
                    <w:szCs w:val="22"/>
                  </w:rPr>
                </w:pPr>
                <w:r w:rsidRPr="00AB6528">
                  <w:rPr>
                    <w:sz w:val="22"/>
                    <w:szCs w:val="22"/>
                  </w:rPr>
                  <w:t> </w:t>
                </w:r>
              </w:p>
            </w:tc>
          </w:tr>
        </w:tbl>
        <w:p w:rsidR="00D60B09" w:rsidRPr="00AB6528" w:rsidRDefault="00D60B09">
          <w:pPr>
            <w:rPr>
              <w:sz w:val="22"/>
              <w:szCs w:val="22"/>
            </w:rPr>
          </w:pPr>
        </w:p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3"/>
            <w:gridCol w:w="2811"/>
          </w:tblGrid>
          <w:tr w:rsidR="00D60B09" w:rsidRPr="00AB6528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60B09" w:rsidRPr="00AB6528" w:rsidRDefault="0070372D">
                <w:pPr>
                  <w:rPr>
                    <w:sz w:val="22"/>
                    <w:szCs w:val="22"/>
                  </w:rPr>
                </w:pPr>
                <w:r w:rsidRPr="00AB6528">
                  <w:rPr>
                    <w:sz w:val="22"/>
                    <w:szCs w:val="22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60B09" w:rsidRPr="00AB6528" w:rsidRDefault="0070372D">
                <w:pPr>
                  <w:rPr>
                    <w:sz w:val="22"/>
                    <w:szCs w:val="22"/>
                  </w:rPr>
                </w:pPr>
                <w:r w:rsidRPr="00AB6528">
                  <w:rPr>
                    <w:sz w:val="22"/>
                    <w:szCs w:val="22"/>
                  </w:rPr>
                  <w:t> </w:t>
                </w:r>
              </w:p>
            </w:tc>
          </w:tr>
        </w:tbl>
        <w:p w:rsidR="00D60B09" w:rsidRPr="00AB6528" w:rsidRDefault="00D60B09">
          <w:pPr>
            <w:rPr>
              <w:sz w:val="22"/>
              <w:szCs w:val="22"/>
            </w:rPr>
          </w:pPr>
        </w:p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87"/>
            <w:gridCol w:w="1504"/>
          </w:tblGrid>
          <w:tr w:rsidR="00D60B09" w:rsidRPr="00AB6528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60B09" w:rsidRPr="00AB6528" w:rsidRDefault="0070372D">
                <w:pPr>
                  <w:rPr>
                    <w:sz w:val="22"/>
                    <w:szCs w:val="22"/>
                  </w:rPr>
                </w:pPr>
                <w:r w:rsidRPr="00AB6528">
                  <w:rPr>
                    <w:sz w:val="22"/>
                    <w:szCs w:val="22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D60B09" w:rsidRPr="00AB6528" w:rsidRDefault="0070372D">
                <w:pPr>
                  <w:rPr>
                    <w:sz w:val="22"/>
                    <w:szCs w:val="22"/>
                  </w:rPr>
                </w:pPr>
                <w:r w:rsidRPr="00AB6528">
                  <w:rPr>
                    <w:sz w:val="22"/>
                    <w:szCs w:val="22"/>
                  </w:rPr>
                  <w:t> </w:t>
                </w:r>
              </w:p>
            </w:tc>
          </w:tr>
        </w:tbl>
        <w:p w:rsidR="00D60B09" w:rsidRPr="00AB6528" w:rsidRDefault="00D60B09">
          <w:pPr>
            <w:rPr>
              <w:sz w:val="22"/>
              <w:szCs w:val="22"/>
            </w:rPr>
          </w:pPr>
        </w:p>
      </w:tc>
    </w:tr>
  </w:tbl>
  <w:p w:rsidR="00D60B09" w:rsidRDefault="0070372D">
    <w:r>
      <w:br/>
    </w:r>
    <w:r>
      <w:rPr>
        <w:rFonts w:ascii="Times New Roman" w:eastAsia="Times New Roman" w:hAnsi="Times New Roman" w:cs="Times New Roman"/>
        <w:color w:val="000000"/>
        <w:sz w:val="28"/>
        <w:szCs w:val="28"/>
      </w:rPr>
      <w:t xml:space="preserve">Chapter 09 Forensic Toxicology </w:t>
    </w:r>
  </w:p>
  <w:p w:rsidR="00D60B09" w:rsidRDefault="00D60B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B09"/>
    <w:rsid w:val="00141938"/>
    <w:rsid w:val="002503F7"/>
    <w:rsid w:val="00522C7E"/>
    <w:rsid w:val="0070372D"/>
    <w:rsid w:val="00AB6528"/>
    <w:rsid w:val="00D6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E5CC"/>
  <w15:docId w15:val="{8FEEFB88-1F68-4227-B626-0839A8E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528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B6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528"/>
    <w:rPr>
      <w:rFonts w:ascii="Arial" w:eastAsia="Arial" w:hAnsi="Arial" w:cs="Arial"/>
      <w:sz w:val="16"/>
      <w:szCs w:val="24"/>
      <w:bdr w:val="nil"/>
    </w:rPr>
  </w:style>
  <w:style w:type="table" w:styleId="TableGrid">
    <w:name w:val="Table Grid"/>
    <w:basedOn w:val="TableNormal"/>
    <w:uiPriority w:val="59"/>
    <w:unhideWhenUsed/>
    <w:rsid w:val="00AB6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09 Forensic Toxicology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09 Forensic Toxicology</dc:title>
  <cp:lastModifiedBy>Waddell, Jack N.</cp:lastModifiedBy>
  <cp:revision>3</cp:revision>
  <dcterms:created xsi:type="dcterms:W3CDTF">2020-01-31T21:37:00Z</dcterms:created>
  <dcterms:modified xsi:type="dcterms:W3CDTF">2020-01-31T21:46:00Z</dcterms:modified>
</cp:coreProperties>
</file>